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825BF2" w:rsidRDefault="00F92268" w:rsidP="00850792">
      <w:pPr>
        <w:pStyle w:val="BodyText"/>
        <w:rPr>
          <w:sz w:val="6"/>
          <w:szCs w:val="6"/>
        </w:rPr>
      </w:pPr>
      <w:r w:rsidRPr="00825BF2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65074A" w:rsidRPr="00825BF2" w14:paraId="43BBF3D8" w14:textId="77777777" w:rsidTr="008658EA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51863DC" w14:textId="77777777" w:rsidR="0065074A" w:rsidRPr="00825BF2" w:rsidRDefault="0065074A" w:rsidP="009B5BEF">
            <w:pPr>
              <w:pStyle w:val="RefTableData"/>
            </w:pPr>
            <w:r w:rsidRPr="00825BF2">
              <w:t>Reference number(s)</w:t>
            </w:r>
          </w:p>
        </w:tc>
      </w:tr>
      <w:tr w:rsidR="0065074A" w:rsidRPr="00825BF2" w14:paraId="7027BBD9" w14:textId="77777777" w:rsidTr="008658EA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6884D" w14:textId="4655E4A7" w:rsidR="0065074A" w:rsidRPr="00825BF2" w:rsidRDefault="004135E4" w:rsidP="009B5BEF">
            <w:pPr>
              <w:pStyle w:val="RefTableData"/>
            </w:pPr>
            <w:r w:rsidRPr="00825BF2">
              <w:t>3029-A</w:t>
            </w:r>
          </w:p>
        </w:tc>
      </w:tr>
    </w:tbl>
    <w:p w14:paraId="74FBA5B4" w14:textId="77777777" w:rsidR="0065074A" w:rsidRPr="00825BF2" w:rsidRDefault="0065074A" w:rsidP="00A672B3">
      <w:pPr>
        <w:pStyle w:val="BodyText"/>
        <w:rPr>
          <w:b/>
          <w:bCs/>
          <w:sz w:val="16"/>
          <w:szCs w:val="16"/>
        </w:rPr>
        <w:sectPr w:rsidR="0065074A" w:rsidRPr="00825BF2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3E10E72B" w:rsidR="004B15BB" w:rsidRPr="00825BF2" w:rsidRDefault="004135E4" w:rsidP="007E5C16">
      <w:pPr>
        <w:pStyle w:val="Heading1"/>
      </w:pPr>
      <w:r w:rsidRPr="00825BF2">
        <w:t>Specialty Guideline Management</w:t>
      </w:r>
      <w:r w:rsidR="00277791" w:rsidRPr="00825BF2">
        <w:br/>
      </w:r>
      <w:r w:rsidRPr="00825BF2">
        <w:t>Duopa</w:t>
      </w:r>
    </w:p>
    <w:p w14:paraId="78861C92" w14:textId="62449BB5" w:rsidR="00203468" w:rsidRPr="00825BF2" w:rsidRDefault="00C64534" w:rsidP="008E0F0D">
      <w:pPr>
        <w:pStyle w:val="Heading2"/>
      </w:pPr>
      <w:r w:rsidRPr="00825BF2">
        <w:t xml:space="preserve">Products Referenced by this </w:t>
      </w:r>
      <w:proofErr w:type="gramStart"/>
      <w:r w:rsidR="00501602" w:rsidRPr="00825BF2">
        <w:t>Document</w:t>
      </w:r>
      <w:proofErr w:type="gramEnd"/>
      <w:r w:rsidR="0026796B" w:rsidRPr="00825BF2">
        <w:t xml:space="preserve"> </w:t>
      </w:r>
    </w:p>
    <w:p w14:paraId="5455152B" w14:textId="29811F29" w:rsidR="008E0F0D" w:rsidRPr="00825BF2" w:rsidRDefault="00D82D85" w:rsidP="008B73E8">
      <w:pPr>
        <w:pStyle w:val="BodyText"/>
      </w:pPr>
      <w:r w:rsidRPr="00825BF2">
        <w:t xml:space="preserve">Drugs that are listed in the </w:t>
      </w:r>
      <w:r w:rsidR="000315F1" w:rsidRPr="00825BF2">
        <w:t>following table</w:t>
      </w:r>
      <w:r w:rsidRPr="00825BF2">
        <w:t xml:space="preserve"> include both brand and generic and all dosage forms and strengths unless otherwise stated. </w:t>
      </w:r>
      <w:proofErr w:type="gramStart"/>
      <w:r w:rsidR="0025703E" w:rsidRPr="00825BF2">
        <w:t>Over-the-counter</w:t>
      </w:r>
      <w:proofErr w:type="gramEnd"/>
      <w:r w:rsidR="0025703E" w:rsidRPr="00825BF2">
        <w:t xml:space="preserve"> (OTC)</w:t>
      </w:r>
      <w:r w:rsidRPr="00825BF2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825BF2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825BF2" w:rsidRDefault="00252CE1" w:rsidP="00AA1E6A">
            <w:pPr>
              <w:pStyle w:val="TableHeader"/>
            </w:pPr>
            <w:bookmarkStart w:id="0" w:name="_Hlk159603270"/>
            <w:r w:rsidRPr="00825BF2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825BF2" w:rsidRDefault="00252CE1" w:rsidP="00AA1E6A">
            <w:pPr>
              <w:pStyle w:val="TableHeader"/>
            </w:pPr>
            <w:r w:rsidRPr="00825BF2">
              <w:t>Generic Name</w:t>
            </w:r>
          </w:p>
        </w:tc>
      </w:tr>
      <w:tr w:rsidR="00585FFF" w:rsidRPr="00825BF2" w14:paraId="2AD5C02D" w14:textId="77777777" w:rsidTr="000C5A6F">
        <w:trPr>
          <w:cantSplit/>
        </w:trPr>
        <w:tc>
          <w:tcPr>
            <w:tcW w:w="5265" w:type="dxa"/>
          </w:tcPr>
          <w:p w14:paraId="2D8FA8E3" w14:textId="68C03366" w:rsidR="00585FFF" w:rsidRPr="00825BF2" w:rsidRDefault="004135E4" w:rsidP="00E82ABA">
            <w:pPr>
              <w:pStyle w:val="TableDataUnpadded"/>
            </w:pPr>
            <w:r w:rsidRPr="00825BF2">
              <w:t>Duopa</w:t>
            </w:r>
          </w:p>
        </w:tc>
        <w:tc>
          <w:tcPr>
            <w:tcW w:w="5595" w:type="dxa"/>
          </w:tcPr>
          <w:p w14:paraId="7E26A004" w14:textId="06B79A80" w:rsidR="00585FFF" w:rsidRPr="00825BF2" w:rsidRDefault="004135E4" w:rsidP="00E82ABA">
            <w:pPr>
              <w:pStyle w:val="TableDataUnpadded"/>
            </w:pPr>
            <w:r w:rsidRPr="00825BF2">
              <w:t>carbidopa</w:t>
            </w:r>
            <w:r w:rsidR="00F11C1A" w:rsidRPr="00825BF2">
              <w:t>/</w:t>
            </w:r>
            <w:r w:rsidRPr="00825BF2">
              <w:t>levodopa enteral suspension</w:t>
            </w:r>
          </w:p>
        </w:tc>
      </w:tr>
    </w:tbl>
    <w:bookmarkEnd w:id="0"/>
    <w:p w14:paraId="14CE6108" w14:textId="3BABF826" w:rsidR="00FC1AAD" w:rsidRPr="00825BF2" w:rsidRDefault="00ED052F" w:rsidP="00ED052F">
      <w:pPr>
        <w:pStyle w:val="Heading2"/>
      </w:pPr>
      <w:r w:rsidRPr="00825BF2">
        <w:t>Indications</w:t>
      </w:r>
    </w:p>
    <w:p w14:paraId="78DEA67C" w14:textId="5232B834" w:rsidR="004135E4" w:rsidRPr="00825BF2" w:rsidRDefault="004135E4" w:rsidP="004135E4">
      <w:pPr>
        <w:pStyle w:val="BodyText"/>
      </w:pPr>
      <w:r w:rsidRPr="00825BF2">
        <w:t xml:space="preserve">The indications below including FDA-approved indications and compendial uses are considered a covered benefit provided that all the approval criteria are </w:t>
      </w:r>
      <w:proofErr w:type="gramStart"/>
      <w:r w:rsidRPr="00825BF2">
        <w:t>met</w:t>
      </w:r>
      <w:proofErr w:type="gramEnd"/>
      <w:r w:rsidRPr="00825BF2">
        <w:t xml:space="preserve"> and the member has no exclusions to the prescribed therapy.</w:t>
      </w:r>
    </w:p>
    <w:p w14:paraId="134B5687" w14:textId="651224C4" w:rsidR="00ED052F" w:rsidRPr="00825BF2" w:rsidRDefault="00ED052F" w:rsidP="00ED052F">
      <w:pPr>
        <w:pStyle w:val="Heading3"/>
        <w:keepNext w:val="0"/>
      </w:pPr>
      <w:r w:rsidRPr="00825BF2">
        <w:t>FDA-approved Indications</w:t>
      </w:r>
    </w:p>
    <w:p w14:paraId="6372D35E" w14:textId="255199A0" w:rsidR="004135E4" w:rsidRPr="00825BF2" w:rsidRDefault="004135E4" w:rsidP="004135E4">
      <w:pPr>
        <w:pStyle w:val="BodyText"/>
      </w:pPr>
      <w:r w:rsidRPr="00825BF2">
        <w:t>Duopa is indicated for the treatment of motor fluctuations in patients with advanced Parkinson’s disease.</w:t>
      </w:r>
    </w:p>
    <w:p w14:paraId="04F5F886" w14:textId="4723A73F" w:rsidR="004135E4" w:rsidRPr="00825BF2" w:rsidRDefault="004135E4" w:rsidP="004135E4">
      <w:pPr>
        <w:pStyle w:val="BodyText"/>
      </w:pPr>
      <w:r w:rsidRPr="00825BF2">
        <w:t>All other indications are considered experimental/investigational and not medically necessary.</w:t>
      </w:r>
    </w:p>
    <w:p w14:paraId="50A38FBA" w14:textId="69824C52" w:rsidR="00FE0C63" w:rsidRPr="00825BF2" w:rsidRDefault="00685107" w:rsidP="00BB66F2">
      <w:pPr>
        <w:pStyle w:val="Heading2"/>
        <w:keepNext w:val="0"/>
        <w:widowControl w:val="0"/>
      </w:pPr>
      <w:r w:rsidRPr="00825BF2">
        <w:t>Coverage Criteria</w:t>
      </w:r>
    </w:p>
    <w:p w14:paraId="1D379AEA" w14:textId="49809648" w:rsidR="004135E4" w:rsidRPr="00825BF2" w:rsidRDefault="004135E4" w:rsidP="00BB66F2">
      <w:pPr>
        <w:pStyle w:val="Heading3"/>
        <w:keepNext w:val="0"/>
        <w:keepLines w:val="0"/>
        <w:widowControl w:val="0"/>
      </w:pPr>
      <w:r w:rsidRPr="00825BF2">
        <w:t xml:space="preserve">Parkinson’s </w:t>
      </w:r>
      <w:r w:rsidR="00C5047D" w:rsidRPr="00825BF2">
        <w:t>D</w:t>
      </w:r>
      <w:r w:rsidRPr="00825BF2">
        <w:t>isease</w:t>
      </w:r>
    </w:p>
    <w:p w14:paraId="793EC2B2" w14:textId="77777777" w:rsidR="004135E4" w:rsidRPr="00825BF2" w:rsidRDefault="004135E4" w:rsidP="00BB66F2">
      <w:pPr>
        <w:pStyle w:val="BodyText"/>
        <w:widowControl w:val="0"/>
      </w:pPr>
      <w:r w:rsidRPr="00825BF2">
        <w:t xml:space="preserve">Authorization of 6 months may be granted for treatment of motor fluctuations in members with advanced Parkinson’s disease when </w:t>
      </w:r>
      <w:proofErr w:type="gramStart"/>
      <w:r w:rsidRPr="00825BF2">
        <w:t>all of</w:t>
      </w:r>
      <w:proofErr w:type="gramEnd"/>
      <w:r w:rsidRPr="00825BF2">
        <w:t xml:space="preserve"> the following criteria are met:</w:t>
      </w:r>
    </w:p>
    <w:p w14:paraId="77C00FA3" w14:textId="1A5EBC9E" w:rsidR="004135E4" w:rsidRPr="00825BF2" w:rsidRDefault="004135E4" w:rsidP="00BB66F2">
      <w:pPr>
        <w:pStyle w:val="ListParagraph"/>
        <w:numPr>
          <w:ilvl w:val="0"/>
          <w:numId w:val="28"/>
        </w:numPr>
        <w:contextualSpacing w:val="0"/>
      </w:pPr>
      <w:r w:rsidRPr="00825BF2">
        <w:t xml:space="preserve">Member is levodopa responsive with clearly defined “on” periods. </w:t>
      </w:r>
    </w:p>
    <w:p w14:paraId="1E24CC7D" w14:textId="688BC216" w:rsidR="004135E4" w:rsidRPr="00825BF2" w:rsidRDefault="004135E4" w:rsidP="00BB66F2">
      <w:pPr>
        <w:pStyle w:val="ListParagraph"/>
        <w:numPr>
          <w:ilvl w:val="0"/>
          <w:numId w:val="28"/>
        </w:numPr>
        <w:contextualSpacing w:val="0"/>
      </w:pPr>
      <w:r w:rsidRPr="00825BF2">
        <w:lastRenderedPageBreak/>
        <w:t xml:space="preserve">The member has “off” periods </w:t>
      </w:r>
      <w:r w:rsidR="0095061B" w:rsidRPr="00825BF2">
        <w:t>of at least</w:t>
      </w:r>
      <w:r w:rsidRPr="00825BF2">
        <w:t xml:space="preserve"> 3 hours per day despite optimization efforts.</w:t>
      </w:r>
    </w:p>
    <w:p w14:paraId="04C59D06" w14:textId="19A9C849" w:rsidR="004135E4" w:rsidRPr="00825BF2" w:rsidRDefault="004135E4" w:rsidP="00BB66F2">
      <w:pPr>
        <w:pStyle w:val="ListParagraph"/>
        <w:numPr>
          <w:ilvl w:val="0"/>
          <w:numId w:val="28"/>
        </w:numPr>
        <w:contextualSpacing w:val="0"/>
      </w:pPr>
      <w:r w:rsidRPr="00825BF2">
        <w:t xml:space="preserve">The member must have had an inadequate response or intolerable adverse event with oral carbidopa/levodopa and one of the following anti-Parkinson agents: </w:t>
      </w:r>
    </w:p>
    <w:p w14:paraId="2C2598D7" w14:textId="7C8B5A4A" w:rsidR="004135E4" w:rsidRPr="00825BF2" w:rsidRDefault="004135E4" w:rsidP="00BB66F2">
      <w:pPr>
        <w:pStyle w:val="ListParagraph"/>
        <w:numPr>
          <w:ilvl w:val="1"/>
          <w:numId w:val="29"/>
        </w:numPr>
        <w:ind w:left="1440"/>
        <w:contextualSpacing w:val="0"/>
        <w:rPr>
          <w:lang w:val="it-IT"/>
        </w:rPr>
      </w:pPr>
      <w:r w:rsidRPr="00825BF2">
        <w:rPr>
          <w:lang w:val="it-IT"/>
        </w:rPr>
        <w:t>Dopamine agonist (e.g., pramipexole, ropinirole)</w:t>
      </w:r>
    </w:p>
    <w:p w14:paraId="396549A5" w14:textId="7273D70D" w:rsidR="004135E4" w:rsidRPr="00825BF2" w:rsidRDefault="004135E4" w:rsidP="00BB66F2">
      <w:pPr>
        <w:pStyle w:val="ListParagraph"/>
        <w:numPr>
          <w:ilvl w:val="1"/>
          <w:numId w:val="29"/>
        </w:numPr>
        <w:ind w:left="1440"/>
        <w:contextualSpacing w:val="0"/>
        <w:rPr>
          <w:lang w:val="it-IT"/>
        </w:rPr>
      </w:pPr>
      <w:r w:rsidRPr="00825BF2">
        <w:rPr>
          <w:lang w:val="it-IT"/>
        </w:rPr>
        <w:t>Monoamine oxidase</w:t>
      </w:r>
      <w:r w:rsidR="00963588" w:rsidRPr="00825BF2">
        <w:rPr>
          <w:lang w:val="it-IT"/>
        </w:rPr>
        <w:t>-</w:t>
      </w:r>
      <w:r w:rsidRPr="00825BF2">
        <w:rPr>
          <w:lang w:val="it-IT"/>
        </w:rPr>
        <w:t>B (MAO-B) inhibitor (e.g., selegiline, rasagiline)</w:t>
      </w:r>
    </w:p>
    <w:p w14:paraId="301212DA" w14:textId="610DFF3D" w:rsidR="004135E4" w:rsidRPr="00825BF2" w:rsidRDefault="004135E4" w:rsidP="00BB66F2">
      <w:pPr>
        <w:pStyle w:val="ListParagraph"/>
        <w:numPr>
          <w:ilvl w:val="1"/>
          <w:numId w:val="29"/>
        </w:numPr>
        <w:ind w:left="1440"/>
        <w:contextualSpacing w:val="0"/>
      </w:pPr>
      <w:r w:rsidRPr="00825BF2">
        <w:t>Catechol-O‐methyltransferase (COMT) inhibitor (e.g., entacapone, tolcapone)</w:t>
      </w:r>
    </w:p>
    <w:p w14:paraId="3A643EC3" w14:textId="3D622D50" w:rsidR="00A501AC" w:rsidRPr="00825BF2" w:rsidRDefault="00A501AC" w:rsidP="00A501AC">
      <w:pPr>
        <w:pStyle w:val="Heading2"/>
      </w:pPr>
      <w:r w:rsidRPr="00825BF2">
        <w:t>Continuation of Therapy</w:t>
      </w:r>
    </w:p>
    <w:p w14:paraId="15336757" w14:textId="2A3C1743" w:rsidR="004135E4" w:rsidRPr="00825BF2" w:rsidRDefault="004135E4" w:rsidP="00BB66F2">
      <w:pPr>
        <w:pStyle w:val="BodyText"/>
      </w:pPr>
      <w:r w:rsidRPr="00825BF2">
        <w:t>Authorization of 12 months may be granted for continued treatment in members requesting reauthorization for advanced Parkinson’s disease who have demonstrated a positive clinical response with the requested medication.</w:t>
      </w:r>
    </w:p>
    <w:p w14:paraId="0A275F8B" w14:textId="5D3B2188" w:rsidR="000E0438" w:rsidRPr="00825BF2" w:rsidRDefault="000E0438" w:rsidP="000E0438">
      <w:pPr>
        <w:pStyle w:val="Heading2"/>
      </w:pP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  <w:r w:rsidRPr="00825BF2">
        <w:t>References</w:t>
      </w:r>
    </w:p>
    <w:p w14:paraId="0A654E4F" w14:textId="77777777" w:rsidR="004135E4" w:rsidRPr="00825BF2" w:rsidRDefault="004135E4" w:rsidP="004135E4">
      <w:pPr>
        <w:pStyle w:val="ReferenceOrdered"/>
      </w:pPr>
      <w:r w:rsidRPr="00825BF2">
        <w:t>Duopa [package insert]. North Chicago, IL: AbbVie, Inc; March 2022.</w:t>
      </w:r>
    </w:p>
    <w:p w14:paraId="47E1A10C" w14:textId="188CBD82" w:rsidR="00C44990" w:rsidRPr="00DB4EF8" w:rsidRDefault="004135E4" w:rsidP="00E50668">
      <w:pPr>
        <w:pStyle w:val="ReferenceOrdered"/>
      </w:pPr>
      <w:proofErr w:type="spellStart"/>
      <w:r w:rsidRPr="00825BF2">
        <w:t>Olanow</w:t>
      </w:r>
      <w:proofErr w:type="spellEnd"/>
      <w:r w:rsidRPr="00825BF2">
        <w:t xml:space="preserve"> CW, </w:t>
      </w:r>
      <w:proofErr w:type="spellStart"/>
      <w:r w:rsidRPr="00825BF2">
        <w:t>Keiburtz</w:t>
      </w:r>
      <w:proofErr w:type="spellEnd"/>
      <w:r w:rsidRPr="00825BF2">
        <w:t xml:space="preserve"> K, Odin P, et al. </w:t>
      </w:r>
      <w:r w:rsidR="009C494A" w:rsidRPr="00825BF2">
        <w:t>C</w:t>
      </w:r>
      <w:r w:rsidRPr="00825BF2">
        <w:t xml:space="preserve">ontinuous intrajejunal infusion of levodopa-carbidopa intestinal gel </w:t>
      </w:r>
      <w:r w:rsidR="00147501" w:rsidRPr="00825BF2">
        <w:t xml:space="preserve">for patients with </w:t>
      </w:r>
      <w:r w:rsidRPr="00825BF2">
        <w:t>advanced Parkinson’s disease</w:t>
      </w:r>
      <w:r w:rsidR="00147501" w:rsidRPr="00825BF2">
        <w:t>: a randomized, controlled, double-blind, double-dummy study.</w:t>
      </w:r>
      <w:r w:rsidRPr="00825BF2">
        <w:t xml:space="preserve"> Lancet Neurol. 2014;13(2):141-149. doi:10.1016/S1474-4422(13)70293-X</w:t>
      </w:r>
    </w:p>
    <w:sectPr w:rsidR="00C44990" w:rsidRPr="00DB4EF8" w:rsidSect="00AA1E6A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0E0F4" w14:textId="77777777" w:rsidR="00815076" w:rsidRDefault="00815076">
      <w:r>
        <w:separator/>
      </w:r>
    </w:p>
  </w:endnote>
  <w:endnote w:type="continuationSeparator" w:id="0">
    <w:p w14:paraId="758A1148" w14:textId="77777777" w:rsidR="00815076" w:rsidRDefault="00815076">
      <w:r>
        <w:continuationSeparator/>
      </w:r>
    </w:p>
  </w:endnote>
  <w:endnote w:type="continuationNotice" w:id="1">
    <w:p w14:paraId="6095A2D7" w14:textId="77777777" w:rsidR="00815076" w:rsidRDefault="008150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5CFF3A41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DB4EF8" w:rsidRPr="00DB4EF8">
      <w:rPr>
        <w:rFonts w:cs="Arial"/>
        <w:noProof/>
        <w:sz w:val="16"/>
        <w:szCs w:val="16"/>
      </w:rPr>
      <w:t>Duopa</w:t>
    </w:r>
    <w:r w:rsidR="00DB4EF8">
      <w:rPr>
        <w:rFonts w:cs="Arial"/>
        <w:noProof/>
        <w:snapToGrid w:val="0"/>
        <w:color w:val="000000"/>
        <w:sz w:val="16"/>
        <w:szCs w:val="16"/>
      </w:rPr>
      <w:t xml:space="preserve"> SGM 3029-A</w:t>
    </w:r>
    <w:r w:rsidR="00DB4EF8" w:rsidRPr="00DB4EF8">
      <w:rPr>
        <w:rFonts w:cs="Arial"/>
        <w:noProof/>
        <w:sz w:val="16"/>
        <w:szCs w:val="16"/>
      </w:rPr>
      <w:t xml:space="preserve"> P2024</w:t>
    </w:r>
    <w:r w:rsidR="00DB4EF8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</w:t>
    </w:r>
    <w:r w:rsidR="00730D68">
      <w:rPr>
        <w:rFonts w:cs="Arial"/>
        <w:snapToGrid w:val="0"/>
        <w:color w:val="000000"/>
        <w:sz w:val="16"/>
      </w:rPr>
      <w:t>24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6F04F889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</w:t>
    </w:r>
    <w:proofErr w:type="gramStart"/>
    <w:r w:rsidRPr="00EC47B6">
      <w:rPr>
        <w:rFonts w:cs="Arial"/>
        <w:snapToGrid w:val="0"/>
        <w:sz w:val="16"/>
        <w:szCs w:val="16"/>
      </w:rPr>
      <w:t>distributed</w:t>
    </w:r>
    <w:proofErr w:type="gramEnd"/>
    <w:r w:rsidRPr="00EC47B6">
      <w:rPr>
        <w:rFonts w:cs="Arial"/>
        <w:snapToGrid w:val="0"/>
        <w:sz w:val="16"/>
        <w:szCs w:val="16"/>
      </w:rPr>
      <w:t xml:space="preserve">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3D2750CA" w:rsidR="00F75C81" w:rsidRPr="00AA1E6A" w:rsidRDefault="00C36B72" w:rsidP="00E50668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1D16E0B1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DB4EF8" w:rsidRPr="00DB4EF8">
      <w:rPr>
        <w:rFonts w:cs="Arial"/>
        <w:noProof/>
        <w:sz w:val="16"/>
        <w:szCs w:val="16"/>
      </w:rPr>
      <w:t>Duopa</w:t>
    </w:r>
    <w:r w:rsidR="00DB4EF8">
      <w:rPr>
        <w:rFonts w:cs="Arial"/>
        <w:noProof/>
        <w:snapToGrid w:val="0"/>
        <w:color w:val="000000"/>
        <w:sz w:val="16"/>
        <w:szCs w:val="16"/>
      </w:rPr>
      <w:t xml:space="preserve"> SGM</w:t>
    </w:r>
    <w:r w:rsidR="00DB4EF8" w:rsidRPr="00DB4EF8">
      <w:rPr>
        <w:rFonts w:cs="Arial"/>
        <w:noProof/>
        <w:sz w:val="16"/>
        <w:szCs w:val="16"/>
      </w:rPr>
      <w:t xml:space="preserve"> </w:t>
    </w:r>
    <w:r w:rsidR="00DB4EF8">
      <w:rPr>
        <w:rFonts w:cs="Arial"/>
        <w:noProof/>
        <w:snapToGrid w:val="0"/>
        <w:color w:val="000000"/>
        <w:sz w:val="16"/>
        <w:szCs w:val="16"/>
      </w:rPr>
      <w:t>3029-A P2024</w:t>
    </w:r>
    <w:r w:rsidR="00DB4EF8" w:rsidRPr="00DB4EF8">
      <w:rPr>
        <w:rFonts w:cs="Arial"/>
        <w:noProof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</w:t>
    </w:r>
    <w:r w:rsidR="00441F25">
      <w:rPr>
        <w:rFonts w:cs="Arial"/>
        <w:snapToGrid w:val="0"/>
        <w:color w:val="000000"/>
        <w:sz w:val="16"/>
      </w:rPr>
      <w:t>24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4FDA0ADB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</w:t>
    </w:r>
    <w:proofErr w:type="gramStart"/>
    <w:r w:rsidRPr="00EC47B6">
      <w:rPr>
        <w:rFonts w:cs="Arial"/>
        <w:snapToGrid w:val="0"/>
        <w:sz w:val="16"/>
        <w:szCs w:val="16"/>
      </w:rPr>
      <w:t>distributed</w:t>
    </w:r>
    <w:proofErr w:type="gramEnd"/>
    <w:r w:rsidRPr="00EC47B6">
      <w:rPr>
        <w:rFonts w:cs="Arial"/>
        <w:snapToGrid w:val="0"/>
        <w:sz w:val="16"/>
        <w:szCs w:val="16"/>
      </w:rPr>
      <w:t xml:space="preserve">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30ECA528" w:rsidR="00ED04EC" w:rsidRPr="00F50D98" w:rsidRDefault="00F50D98" w:rsidP="00E50668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10E90" w14:textId="77777777" w:rsidR="00815076" w:rsidRDefault="00815076">
      <w:r>
        <w:separator/>
      </w:r>
    </w:p>
  </w:footnote>
  <w:footnote w:type="continuationSeparator" w:id="0">
    <w:p w14:paraId="40E21D36" w14:textId="77777777" w:rsidR="00815076" w:rsidRDefault="00815076">
      <w:r>
        <w:continuationSeparator/>
      </w:r>
    </w:p>
  </w:footnote>
  <w:footnote w:type="continuationNotice" w:id="1">
    <w:p w14:paraId="0F49C502" w14:textId="77777777" w:rsidR="00815076" w:rsidRDefault="008150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9B5BEF">
          <w:pPr>
            <w:pStyle w:val="RefTableData"/>
          </w:pPr>
          <w:r w:rsidRPr="00AA1E6A">
            <w:t>Reference number(s)</w:t>
          </w:r>
        </w:p>
      </w:tc>
    </w:tr>
    <w:tr w:rsidR="004135E4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74CF50F0" w:rsidR="004135E4" w:rsidRPr="00AA1E6A" w:rsidRDefault="004135E4" w:rsidP="009B5BEF">
          <w:pPr>
            <w:pStyle w:val="RefTableData"/>
            <w:rPr>
              <w:color w:val="FF0000"/>
            </w:rPr>
          </w:pPr>
          <w:r>
            <w:t>3029</w:t>
          </w:r>
          <w:r w:rsidRPr="006917F9">
            <w:t>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121DAD" w:rsidRDefault="000F5383" w:rsidP="000F5383">
          <w:pPr>
            <w:pStyle w:val="Header"/>
            <w:rPr>
              <w:rFonts w:cs="Arial"/>
              <w:sz w:val="16"/>
              <w:szCs w:val="16"/>
            </w:rPr>
          </w:pPr>
          <w:r w:rsidRPr="00121DAD">
            <w:rPr>
              <w:rFonts w:cs="Arial"/>
              <w:sz w:val="16"/>
              <w:szCs w:val="16"/>
            </w:rPr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6782DF1A" w:rsidR="000F5383" w:rsidRPr="00121DAD" w:rsidRDefault="004135E4" w:rsidP="000F5383">
          <w:pPr>
            <w:pStyle w:val="Header"/>
            <w:rPr>
              <w:rFonts w:cs="Arial"/>
              <w:sz w:val="16"/>
              <w:szCs w:val="16"/>
            </w:rPr>
          </w:pPr>
          <w:r w:rsidRPr="004135E4">
            <w:rPr>
              <w:rFonts w:cs="Arial"/>
              <w:sz w:val="16"/>
              <w:szCs w:val="16"/>
            </w:rPr>
            <w:t>3029-A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0E294E"/>
    <w:multiLevelType w:val="hybridMultilevel"/>
    <w:tmpl w:val="C45817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242262"/>
    <w:multiLevelType w:val="hybridMultilevel"/>
    <w:tmpl w:val="4A4A4762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D695FBC"/>
    <w:multiLevelType w:val="hybridMultilevel"/>
    <w:tmpl w:val="FF96E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C428CD"/>
    <w:multiLevelType w:val="hybridMultilevel"/>
    <w:tmpl w:val="0752376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335E10"/>
    <w:multiLevelType w:val="hybridMultilevel"/>
    <w:tmpl w:val="B3484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6"/>
  </w:num>
  <w:num w:numId="3" w16cid:durableId="611589570">
    <w:abstractNumId w:val="22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20"/>
  </w:num>
  <w:num w:numId="17" w16cid:durableId="2128498676">
    <w:abstractNumId w:val="28"/>
  </w:num>
  <w:num w:numId="18" w16cid:durableId="299724409">
    <w:abstractNumId w:val="23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29"/>
  </w:num>
  <w:num w:numId="22" w16cid:durableId="1472481103">
    <w:abstractNumId w:val="25"/>
  </w:num>
  <w:num w:numId="23" w16cid:durableId="1997420403">
    <w:abstractNumId w:val="27"/>
  </w:num>
  <w:num w:numId="24" w16cid:durableId="33312838">
    <w:abstractNumId w:val="24"/>
  </w:num>
  <w:num w:numId="25" w16cid:durableId="507404939">
    <w:abstractNumId w:val="19"/>
  </w:num>
  <w:num w:numId="26" w16cid:durableId="1773160047">
    <w:abstractNumId w:val="21"/>
  </w:num>
  <w:num w:numId="27" w16cid:durableId="1542014614">
    <w:abstractNumId w:val="18"/>
  </w:num>
  <w:num w:numId="28" w16cid:durableId="580452439">
    <w:abstractNumId w:val="17"/>
  </w:num>
  <w:num w:numId="29" w16cid:durableId="984624358">
    <w:abstractNumId w:val="16"/>
  </w:num>
  <w:num w:numId="30" w16cid:durableId="627735090">
    <w:abstractNumId w:val="26"/>
    <w:lvlOverride w:ilvl="0">
      <w:startOverride w:val="1"/>
    </w:lvlOverride>
  </w:num>
  <w:num w:numId="31" w16cid:durableId="157889461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6CAB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4F61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4A9B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28"/>
    <w:rsid w:val="000D4EA4"/>
    <w:rsid w:val="000D5101"/>
    <w:rsid w:val="000D5978"/>
    <w:rsid w:val="000D5D4B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DAD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898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47501"/>
    <w:rsid w:val="00150AFC"/>
    <w:rsid w:val="00151DA8"/>
    <w:rsid w:val="00152135"/>
    <w:rsid w:val="00152F00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6ADA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1EA8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5703E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227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0D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144"/>
    <w:rsid w:val="002B751E"/>
    <w:rsid w:val="002B7A9E"/>
    <w:rsid w:val="002B7F07"/>
    <w:rsid w:val="002B7FDB"/>
    <w:rsid w:val="002C0682"/>
    <w:rsid w:val="002C1498"/>
    <w:rsid w:val="002C1864"/>
    <w:rsid w:val="002C1C77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0DB6"/>
    <w:rsid w:val="002F1388"/>
    <w:rsid w:val="002F23BB"/>
    <w:rsid w:val="002F2FA8"/>
    <w:rsid w:val="002F311C"/>
    <w:rsid w:val="002F335A"/>
    <w:rsid w:val="002F5F01"/>
    <w:rsid w:val="002F6300"/>
    <w:rsid w:val="0030016D"/>
    <w:rsid w:val="00301EB1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3AB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4E8"/>
    <w:rsid w:val="003C3B92"/>
    <w:rsid w:val="003C3EB1"/>
    <w:rsid w:val="003C47E1"/>
    <w:rsid w:val="003C4CD4"/>
    <w:rsid w:val="003C66DD"/>
    <w:rsid w:val="003C6EB7"/>
    <w:rsid w:val="003C6ED6"/>
    <w:rsid w:val="003C7530"/>
    <w:rsid w:val="003C76EF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6CAF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5E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1F25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0D8F"/>
    <w:rsid w:val="00451431"/>
    <w:rsid w:val="004516EC"/>
    <w:rsid w:val="00452B20"/>
    <w:rsid w:val="00453D7B"/>
    <w:rsid w:val="004543CE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590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3EC2"/>
    <w:rsid w:val="00494054"/>
    <w:rsid w:val="00494B52"/>
    <w:rsid w:val="00495ADE"/>
    <w:rsid w:val="0049611C"/>
    <w:rsid w:val="00496388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33B0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97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09A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4E4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0AA"/>
    <w:rsid w:val="00533115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0880"/>
    <w:rsid w:val="0054123C"/>
    <w:rsid w:val="00542E88"/>
    <w:rsid w:val="00543BF7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0A1"/>
    <w:rsid w:val="00610F0F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74A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77843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1CB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C7AE8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0D68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78D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1D92"/>
    <w:rsid w:val="007A3667"/>
    <w:rsid w:val="007A529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39F"/>
    <w:rsid w:val="007D151B"/>
    <w:rsid w:val="007D1C72"/>
    <w:rsid w:val="007D1E64"/>
    <w:rsid w:val="007D21D7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5076"/>
    <w:rsid w:val="00817095"/>
    <w:rsid w:val="008171AA"/>
    <w:rsid w:val="0082041F"/>
    <w:rsid w:val="008204B5"/>
    <w:rsid w:val="00821A95"/>
    <w:rsid w:val="00822077"/>
    <w:rsid w:val="00822A02"/>
    <w:rsid w:val="008231A9"/>
    <w:rsid w:val="0082357B"/>
    <w:rsid w:val="0082395F"/>
    <w:rsid w:val="00823B22"/>
    <w:rsid w:val="008254BC"/>
    <w:rsid w:val="00825BF2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C82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77F2C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9F4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CEE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553A"/>
    <w:rsid w:val="00947FC1"/>
    <w:rsid w:val="0095061B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58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4C18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079"/>
    <w:rsid w:val="009B35DC"/>
    <w:rsid w:val="009B3740"/>
    <w:rsid w:val="009B579E"/>
    <w:rsid w:val="009B5866"/>
    <w:rsid w:val="009B5A24"/>
    <w:rsid w:val="009B5BEF"/>
    <w:rsid w:val="009B6153"/>
    <w:rsid w:val="009B7708"/>
    <w:rsid w:val="009C0A23"/>
    <w:rsid w:val="009C1516"/>
    <w:rsid w:val="009C2E32"/>
    <w:rsid w:val="009C3C50"/>
    <w:rsid w:val="009C494A"/>
    <w:rsid w:val="009C4B9D"/>
    <w:rsid w:val="009C4C07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5CC6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B10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734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4A75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28E1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0E3A"/>
    <w:rsid w:val="00B81929"/>
    <w:rsid w:val="00B81FE6"/>
    <w:rsid w:val="00B8206A"/>
    <w:rsid w:val="00B827C8"/>
    <w:rsid w:val="00B83047"/>
    <w:rsid w:val="00B834A4"/>
    <w:rsid w:val="00B836B0"/>
    <w:rsid w:val="00B8383A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BEB"/>
    <w:rsid w:val="00B92FFE"/>
    <w:rsid w:val="00B939EF"/>
    <w:rsid w:val="00B93BBA"/>
    <w:rsid w:val="00B94445"/>
    <w:rsid w:val="00B9493B"/>
    <w:rsid w:val="00B97115"/>
    <w:rsid w:val="00B976D7"/>
    <w:rsid w:val="00BA02AD"/>
    <w:rsid w:val="00BA06AE"/>
    <w:rsid w:val="00BA08A5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6F2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3F9F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047D"/>
    <w:rsid w:val="00C511E1"/>
    <w:rsid w:val="00C51255"/>
    <w:rsid w:val="00C53013"/>
    <w:rsid w:val="00C5372D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68B5"/>
    <w:rsid w:val="00C675EB"/>
    <w:rsid w:val="00C676EA"/>
    <w:rsid w:val="00C700FE"/>
    <w:rsid w:val="00C712D8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10A0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541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BE7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97F62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4EF8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65D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1730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0668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580F"/>
    <w:rsid w:val="00E8686D"/>
    <w:rsid w:val="00E86A27"/>
    <w:rsid w:val="00E87749"/>
    <w:rsid w:val="00E87B42"/>
    <w:rsid w:val="00E87C7C"/>
    <w:rsid w:val="00E90324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874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C1A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B2B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4BE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6B8F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6B82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FB6B8F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FB6B8F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65074A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65074A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65074A"/>
    <w:rPr>
      <w:rFonts w:ascii="CVS Health Sans" w:hAnsi="CVS Health Sans" w:cs="Arial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65074A"/>
    <w:rPr>
      <w:rFonts w:ascii="CVS Health Sans" w:hAnsi="CVS Health Sans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d8141934-0c15-45a3-8ee8-53e64ae38189"/>
    <ds:schemaRef ds:uri="043d2832-9d9b-42b0-abd6-be76ec978c95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1C316D-40F5-4AB9-A88E-F57905DBC88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284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Duopa 3029-A SGM 2023</vt:lpstr>
    </vt:vector>
  </TitlesOfParts>
  <Company>PCS Health Systems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Duopa 3029-A SGM 2023</dc:title>
  <dc:subject/>
  <dc:creator>CVS Caremark</dc:creator>
  <cp:keywords/>
  <cp:lastModifiedBy>Pan, Stacey J</cp:lastModifiedBy>
  <cp:revision>55</cp:revision>
  <cp:lastPrinted>2018-01-09T05:01:00Z</cp:lastPrinted>
  <dcterms:created xsi:type="dcterms:W3CDTF">2024-05-21T06:07:00Z</dcterms:created>
  <dcterms:modified xsi:type="dcterms:W3CDTF">2024-11-19T01:06:00Z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1275100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